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51"/>
        <w:tblW w:w="12420" w:type="dxa"/>
        <w:tblLook w:val="04A0" w:firstRow="1" w:lastRow="0" w:firstColumn="1" w:lastColumn="0" w:noHBand="0" w:noVBand="1"/>
      </w:tblPr>
      <w:tblGrid>
        <w:gridCol w:w="12420"/>
      </w:tblGrid>
      <w:tr w:rsidR="00990777" w:rsidRPr="00990777" w:rsidTr="00990777">
        <w:trPr>
          <w:trHeight w:val="288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77" w:rsidRPr="00990777" w:rsidRDefault="00990777" w:rsidP="00AB7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9077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SUNY system colleges and universities teach a common set of General Education Learning Goals and Competencies. Learning Goals are specific to particular areas of study </w:t>
            </w:r>
            <w:r w:rsidR="00AB7B7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and specific infused or global</w:t>
            </w:r>
            <w:r w:rsidRPr="0099077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Competencies are taught across the curriculum in many courses and all departments. The table</w:t>
            </w:r>
            <w:r w:rsidR="00AB7B7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provides recent information about</w:t>
            </w:r>
            <w:r w:rsidRPr="0099077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student performance for the General Education Competencies and for Quantitative (Math) student learning outcomes. </w:t>
            </w:r>
          </w:p>
        </w:tc>
      </w:tr>
      <w:tr w:rsidR="00990777" w:rsidRPr="00990777" w:rsidTr="00990777">
        <w:trPr>
          <w:trHeight w:val="288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77" w:rsidRDefault="00990777" w:rsidP="00990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990777" w:rsidRPr="00990777" w:rsidTr="00990777">
        <w:trPr>
          <w:trHeight w:val="288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77" w:rsidRDefault="00990777" w:rsidP="00990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990777" w:rsidRPr="00990777" w:rsidTr="00990777">
        <w:trPr>
          <w:trHeight w:val="288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90777" w:rsidRPr="00990777" w:rsidRDefault="00990777" w:rsidP="00990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I. SUNY</w:t>
            </w:r>
            <w:r w:rsidRPr="00990777">
              <w:rPr>
                <w:rFonts w:ascii="Calibri" w:eastAsia="Times New Roman" w:hAnsi="Calibri" w:cs="Calibri"/>
                <w:b/>
                <w:bCs/>
              </w:rPr>
              <w:t xml:space="preserve"> GENERAL EDUCATION COMPETENCIES: CRITICAL THINKING</w:t>
            </w:r>
          </w:p>
        </w:tc>
      </w:tr>
      <w:tr w:rsidR="00990777" w:rsidRPr="00990777" w:rsidTr="00990777">
        <w:trPr>
          <w:trHeight w:val="516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bottom"/>
            <w:hideMark/>
          </w:tcPr>
          <w:p w:rsidR="00990777" w:rsidRPr="00990777" w:rsidRDefault="00990777" w:rsidP="00990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077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Students will develop critical thinking skills through their exposure to the methods of evidence and reasoning utilized to enhance understanding in the subject field.  </w:t>
            </w:r>
          </w:p>
        </w:tc>
      </w:tr>
      <w:tr w:rsidR="00990777" w:rsidRPr="00990777" w:rsidTr="00990777">
        <w:trPr>
          <w:trHeight w:val="288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77" w:rsidRPr="00990777" w:rsidRDefault="00990777" w:rsidP="00990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99077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2012-2013 Course Level Student Learning Assessment Results for Critical Thinking</w:t>
            </w:r>
          </w:p>
        </w:tc>
      </w:tr>
      <w:tr w:rsidR="00990777" w:rsidRPr="00990777" w:rsidTr="00990777">
        <w:trPr>
          <w:trHeight w:val="588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777" w:rsidRPr="00990777" w:rsidRDefault="00AB7B7E" w:rsidP="00AB7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 reported by classroom faculty, o</w:t>
            </w:r>
            <w:r w:rsidR="00990777" w:rsidRPr="00990777">
              <w:rPr>
                <w:rFonts w:ascii="Calibri" w:eastAsia="Times New Roman" w:hAnsi="Calibri" w:cs="Calibri"/>
                <w:color w:val="000000"/>
              </w:rPr>
              <w:t xml:space="preserve">ver 82% of students met or exceeded classroom performance expectations for Critical Thinking outcomes. (Results represent courses across the curriculum and a student sample representing approximately 21% of students enrolled at the College.) </w:t>
            </w:r>
          </w:p>
        </w:tc>
      </w:tr>
      <w:tr w:rsidR="00990777" w:rsidRPr="00990777" w:rsidTr="00990777">
        <w:trPr>
          <w:trHeight w:val="408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0777" w:rsidRPr="00990777" w:rsidRDefault="00990777" w:rsidP="0099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0777" w:rsidRPr="00990777" w:rsidTr="00990777">
        <w:trPr>
          <w:trHeight w:val="288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90777" w:rsidRPr="00990777" w:rsidRDefault="00990777" w:rsidP="00990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90777">
              <w:rPr>
                <w:rFonts w:ascii="Calibri" w:eastAsia="Times New Roman" w:hAnsi="Calibri" w:cs="Calibri"/>
                <w:b/>
                <w:bCs/>
              </w:rPr>
              <w:t>II. SUNY GENERAL EDUCATION COMPETENCIES: INFORMATION LITERACY AND MANAGEMENT</w:t>
            </w:r>
          </w:p>
        </w:tc>
      </w:tr>
      <w:tr w:rsidR="00990777" w:rsidRPr="00990777" w:rsidTr="00990777">
        <w:trPr>
          <w:trHeight w:val="576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bottom"/>
            <w:hideMark/>
          </w:tcPr>
          <w:p w:rsidR="00990777" w:rsidRPr="00990777" w:rsidRDefault="00990777" w:rsidP="00990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990777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Students will </w:t>
            </w:r>
            <w:proofErr w:type="gramStart"/>
            <w:r w:rsidRPr="00990777">
              <w:rPr>
                <w:rFonts w:ascii="Calibri" w:eastAsia="Times New Roman" w:hAnsi="Calibri" w:cs="Calibri"/>
                <w:b/>
                <w:bCs/>
                <w:i/>
                <w:iCs/>
              </w:rPr>
              <w:t>demonstrate  competency</w:t>
            </w:r>
            <w:proofErr w:type="gramEnd"/>
            <w:r w:rsidRPr="00990777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 in the methods of information literacy/management through their exposure to information resources and research techniques in applications relevant to the subject field.</w:t>
            </w:r>
          </w:p>
        </w:tc>
      </w:tr>
      <w:tr w:rsidR="00990777" w:rsidRPr="00990777" w:rsidTr="00990777">
        <w:trPr>
          <w:trHeight w:val="300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777" w:rsidRPr="00990777" w:rsidRDefault="00990777" w:rsidP="00990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99077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2012-2013 Course Level Student Learning Assessment Results for Information Literacy and Management</w:t>
            </w:r>
          </w:p>
        </w:tc>
      </w:tr>
      <w:tr w:rsidR="00990777" w:rsidRPr="00990777" w:rsidTr="00990777">
        <w:trPr>
          <w:trHeight w:val="600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777" w:rsidRPr="00990777" w:rsidRDefault="00AB7B7E" w:rsidP="00AB7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7B7E">
              <w:rPr>
                <w:rFonts w:ascii="Calibri" w:eastAsia="Times New Roman" w:hAnsi="Calibri" w:cs="Calibri"/>
                <w:color w:val="000000"/>
              </w:rPr>
              <w:t xml:space="preserve">As reported by classroom faculty, </w:t>
            </w:r>
            <w:r>
              <w:rPr>
                <w:rFonts w:ascii="Calibri" w:eastAsia="Times New Roman" w:hAnsi="Calibri" w:cs="Calibri"/>
                <w:color w:val="000000"/>
              </w:rPr>
              <w:t>o</w:t>
            </w:r>
            <w:r w:rsidR="00990777" w:rsidRPr="00990777">
              <w:rPr>
                <w:rFonts w:ascii="Calibri" w:eastAsia="Times New Roman" w:hAnsi="Calibri" w:cs="Calibri"/>
                <w:color w:val="000000"/>
              </w:rPr>
              <w:t xml:space="preserve">ver 74% of students met or exceeded classroom performance expectations for Information Literacy and Management outcomes. (Results represent courses across the curriculum and a student sample representing approximately 40% of students enrolled at the College.) </w:t>
            </w:r>
          </w:p>
        </w:tc>
      </w:tr>
      <w:tr w:rsidR="00AB7B7E" w:rsidRPr="00990777" w:rsidTr="00990777">
        <w:trPr>
          <w:trHeight w:val="288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B7E" w:rsidRPr="00990777" w:rsidRDefault="00AB7B7E" w:rsidP="0099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0777" w:rsidRPr="00990777" w:rsidTr="00990777">
        <w:trPr>
          <w:trHeight w:val="288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0777" w:rsidRPr="00990777" w:rsidRDefault="00990777" w:rsidP="0099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0777" w:rsidRPr="00990777" w:rsidTr="00990777">
        <w:trPr>
          <w:trHeight w:val="288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90777" w:rsidRPr="00990777" w:rsidRDefault="00990777" w:rsidP="00990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90777">
              <w:rPr>
                <w:rFonts w:ascii="Calibri" w:eastAsia="Times New Roman" w:hAnsi="Calibri" w:cs="Calibri"/>
                <w:b/>
                <w:bCs/>
              </w:rPr>
              <w:t>III. SUNY GENERAL EDUCATION COMPETENCIES: BASIC WRITTEN COMMUNICATION</w:t>
            </w:r>
          </w:p>
        </w:tc>
      </w:tr>
      <w:tr w:rsidR="00990777" w:rsidRPr="00990777" w:rsidTr="00990777">
        <w:trPr>
          <w:trHeight w:val="288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bottom"/>
            <w:hideMark/>
          </w:tcPr>
          <w:p w:rsidR="00990777" w:rsidRPr="00990777" w:rsidRDefault="00990777" w:rsidP="00990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9077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Students will develop college level writing skills within the context of their coursework. </w:t>
            </w:r>
          </w:p>
        </w:tc>
      </w:tr>
      <w:tr w:rsidR="00990777" w:rsidRPr="00990777" w:rsidTr="00990777">
        <w:trPr>
          <w:trHeight w:val="288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77" w:rsidRPr="00990777" w:rsidRDefault="00990777" w:rsidP="00990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99077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2012-2013 Course Level Student Learning Assessment Results Basic Written Communication</w:t>
            </w:r>
          </w:p>
        </w:tc>
      </w:tr>
      <w:tr w:rsidR="00990777" w:rsidRPr="00990777" w:rsidTr="00990777">
        <w:trPr>
          <w:trHeight w:val="624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777" w:rsidRPr="00990777" w:rsidRDefault="00AB7B7E" w:rsidP="00AB7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7B7E">
              <w:rPr>
                <w:rFonts w:ascii="Calibri" w:eastAsia="Times New Roman" w:hAnsi="Calibri" w:cs="Calibri"/>
                <w:color w:val="000000"/>
              </w:rPr>
              <w:t xml:space="preserve">As reported by classroom faculty, </w:t>
            </w:r>
            <w:r>
              <w:rPr>
                <w:rFonts w:ascii="Calibri" w:eastAsia="Times New Roman" w:hAnsi="Calibri" w:cs="Calibri"/>
                <w:color w:val="000000"/>
              </w:rPr>
              <w:t>o</w:t>
            </w:r>
            <w:r w:rsidR="00990777" w:rsidRPr="00990777">
              <w:rPr>
                <w:rFonts w:ascii="Calibri" w:eastAsia="Times New Roman" w:hAnsi="Calibri" w:cs="Calibri"/>
                <w:color w:val="000000"/>
              </w:rPr>
              <w:t xml:space="preserve">ver 64% of students met or exceeded classroom performance expectations for Basic Written Communication outcomes. (Results represent courses across the curriculum and a student sample representing approximately 10% of students enrolled at the College.) </w:t>
            </w:r>
          </w:p>
        </w:tc>
      </w:tr>
    </w:tbl>
    <w:p w:rsidR="00AB7B7E" w:rsidRDefault="00AB7B7E">
      <w:bookmarkStart w:id="0" w:name="_GoBack"/>
      <w:bookmarkEnd w:id="0"/>
      <w:r>
        <w:br w:type="page"/>
      </w:r>
    </w:p>
    <w:tbl>
      <w:tblPr>
        <w:tblpPr w:leftFromText="180" w:rightFromText="180" w:vertAnchor="page" w:horzAnchor="margin" w:tblpXSpec="center" w:tblpY="1051"/>
        <w:tblW w:w="12420" w:type="dxa"/>
        <w:tblLook w:val="04A0" w:firstRow="1" w:lastRow="0" w:firstColumn="1" w:lastColumn="0" w:noHBand="0" w:noVBand="1"/>
      </w:tblPr>
      <w:tblGrid>
        <w:gridCol w:w="12420"/>
      </w:tblGrid>
      <w:tr w:rsidR="00990777" w:rsidRPr="00990777" w:rsidTr="00990777">
        <w:trPr>
          <w:trHeight w:val="288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0777" w:rsidRPr="00990777" w:rsidRDefault="00990777" w:rsidP="0099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0777" w:rsidRPr="00990777" w:rsidTr="00990777">
        <w:trPr>
          <w:trHeight w:val="288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90777" w:rsidRPr="00990777" w:rsidRDefault="00990777" w:rsidP="00990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90777">
              <w:rPr>
                <w:rFonts w:ascii="Calibri" w:eastAsia="Times New Roman" w:hAnsi="Calibri" w:cs="Calibri"/>
                <w:b/>
                <w:bCs/>
              </w:rPr>
              <w:t>IV. SUNY GENERAL EDUCATION COMPETENCIES: Basic Oral  Communication</w:t>
            </w:r>
          </w:p>
        </w:tc>
      </w:tr>
      <w:tr w:rsidR="00990777" w:rsidRPr="00990777" w:rsidTr="00990777">
        <w:trPr>
          <w:trHeight w:val="288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90777" w:rsidRPr="00990777" w:rsidRDefault="00990777" w:rsidP="00990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990777">
              <w:rPr>
                <w:rFonts w:ascii="Calibri" w:eastAsia="Times New Roman" w:hAnsi="Calibri" w:cs="Calibri"/>
                <w:b/>
                <w:bCs/>
                <w:i/>
                <w:iCs/>
              </w:rPr>
              <w:t>Students will demonstrate an appropriate level of competence in oral discourse.</w:t>
            </w:r>
          </w:p>
        </w:tc>
      </w:tr>
      <w:tr w:rsidR="00990777" w:rsidRPr="00990777" w:rsidTr="00990777">
        <w:trPr>
          <w:trHeight w:val="288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77" w:rsidRPr="00990777" w:rsidRDefault="00990777" w:rsidP="00990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99077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2012-2013 Course Level Student Learning Assessment Results Basic Oral Communication</w:t>
            </w:r>
          </w:p>
        </w:tc>
      </w:tr>
      <w:tr w:rsidR="00990777" w:rsidRPr="00990777" w:rsidTr="00990777">
        <w:trPr>
          <w:trHeight w:val="612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777" w:rsidRPr="00990777" w:rsidRDefault="00AB7B7E" w:rsidP="00AB7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7B7E">
              <w:rPr>
                <w:rFonts w:ascii="Calibri" w:eastAsia="Times New Roman" w:hAnsi="Calibri" w:cs="Calibri"/>
                <w:color w:val="000000"/>
              </w:rPr>
              <w:t xml:space="preserve">As reported by classroom faculty, </w:t>
            </w:r>
            <w:r>
              <w:rPr>
                <w:rFonts w:ascii="Calibri" w:eastAsia="Times New Roman" w:hAnsi="Calibri" w:cs="Calibri"/>
                <w:color w:val="000000"/>
              </w:rPr>
              <w:t>o</w:t>
            </w:r>
            <w:r w:rsidR="00990777" w:rsidRPr="00990777">
              <w:rPr>
                <w:rFonts w:ascii="Calibri" w:eastAsia="Times New Roman" w:hAnsi="Calibri" w:cs="Calibri"/>
                <w:color w:val="000000"/>
              </w:rPr>
              <w:t xml:space="preserve">ver 86% of students met or exceeded classroom performance expectations for Basic Oral Communication outcomes. (Results represent courses across the curriculum and a student sample representing approximately 21% of students enrolled at the College.) </w:t>
            </w:r>
          </w:p>
        </w:tc>
      </w:tr>
      <w:tr w:rsidR="00990777" w:rsidRPr="00990777" w:rsidTr="00990777">
        <w:trPr>
          <w:trHeight w:val="612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777" w:rsidRPr="00990777" w:rsidRDefault="00990777" w:rsidP="0099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0777" w:rsidRPr="00990777" w:rsidTr="00990777">
        <w:trPr>
          <w:trHeight w:val="288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90777" w:rsidRPr="00990777" w:rsidRDefault="00990777" w:rsidP="00990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90777">
              <w:rPr>
                <w:rFonts w:ascii="Calibri" w:eastAsia="Times New Roman" w:hAnsi="Calibri" w:cs="Calibri"/>
                <w:b/>
                <w:bCs/>
              </w:rPr>
              <w:t>V. SUNY GENERAL EDUCATION COMPETENCIES: Mathematics (Quantitative)</w:t>
            </w:r>
          </w:p>
        </w:tc>
      </w:tr>
      <w:tr w:rsidR="00990777" w:rsidRPr="00990777" w:rsidTr="00990777">
        <w:trPr>
          <w:trHeight w:val="600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bottom"/>
            <w:hideMark/>
          </w:tcPr>
          <w:p w:rsidR="00990777" w:rsidRPr="00990777" w:rsidRDefault="00990777" w:rsidP="00990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077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Learning Outcome #1</w:t>
            </w:r>
            <w:r w:rsidRPr="0099077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: </w:t>
            </w:r>
            <w:r w:rsidRPr="0099077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Students will demonstrate the ability to interpret and draw inferences from mathematical models such as formulas, graphs, tables, and schematics</w:t>
            </w:r>
            <w:r w:rsidRPr="00990777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</w:tr>
      <w:tr w:rsidR="00990777" w:rsidRPr="00990777" w:rsidTr="00990777">
        <w:trPr>
          <w:trHeight w:val="612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bottom"/>
            <w:hideMark/>
          </w:tcPr>
          <w:p w:rsidR="00990777" w:rsidRPr="00990777" w:rsidRDefault="00990777" w:rsidP="00990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077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Learning Outcome #2</w:t>
            </w:r>
            <w:r w:rsidRPr="0099077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: </w:t>
            </w:r>
            <w:r w:rsidRPr="0099077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Students will demonstrate the ability to represent mathematical information symbolically, visually, numerically and verbally</w:t>
            </w:r>
            <w:r w:rsidRPr="00990777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</w:tr>
      <w:tr w:rsidR="00990777" w:rsidRPr="00990777" w:rsidTr="00990777">
        <w:trPr>
          <w:trHeight w:val="588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bottom"/>
            <w:hideMark/>
          </w:tcPr>
          <w:p w:rsidR="00990777" w:rsidRPr="00990777" w:rsidRDefault="00990777" w:rsidP="00990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077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Learning Outcome #3</w:t>
            </w:r>
            <w:r w:rsidRPr="0099077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: </w:t>
            </w:r>
            <w:r w:rsidRPr="0099077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Students will demonstrate the ability to employ quantitative methods such as, arithmetic, algebra, geometry, or statistics to solve problems</w:t>
            </w:r>
            <w:r w:rsidRPr="00990777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</w:tr>
      <w:tr w:rsidR="00990777" w:rsidRPr="00990777" w:rsidTr="00990777">
        <w:trPr>
          <w:trHeight w:val="396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bottom"/>
            <w:hideMark/>
          </w:tcPr>
          <w:p w:rsidR="00990777" w:rsidRPr="00990777" w:rsidRDefault="00990777" w:rsidP="00990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077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Learning Outcome #4</w:t>
            </w:r>
            <w:r w:rsidRPr="0099077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: </w:t>
            </w:r>
            <w:r w:rsidRPr="0099077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Students will demonstrate the ability to estimate and check mathematical results for reasonableness</w:t>
            </w:r>
            <w:r w:rsidRPr="00990777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</w:tr>
      <w:tr w:rsidR="00990777" w:rsidRPr="00990777" w:rsidTr="00990777">
        <w:trPr>
          <w:trHeight w:val="420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bottom"/>
            <w:hideMark/>
          </w:tcPr>
          <w:p w:rsidR="00990777" w:rsidRPr="00990777" w:rsidRDefault="00990777" w:rsidP="00990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077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Learning Outcome #5</w:t>
            </w:r>
            <w:r w:rsidRPr="0099077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: </w:t>
            </w:r>
            <w:r w:rsidRPr="0099077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Students will demonstrate the ability to recognize the limits of mathematical and statistical methods.</w:t>
            </w:r>
          </w:p>
        </w:tc>
      </w:tr>
      <w:tr w:rsidR="00990777" w:rsidRPr="00990777" w:rsidTr="00990777">
        <w:trPr>
          <w:trHeight w:val="288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77" w:rsidRPr="00990777" w:rsidRDefault="00990777" w:rsidP="00990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99077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2010-2013 Course Level Student Learning Assessment Results For Mathematics (Quantitative)</w:t>
            </w:r>
          </w:p>
        </w:tc>
      </w:tr>
      <w:tr w:rsidR="00990777" w:rsidRPr="00990777" w:rsidTr="00990777">
        <w:trPr>
          <w:trHeight w:val="888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777" w:rsidRPr="00990777" w:rsidRDefault="00AB7B7E" w:rsidP="00AB7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7B7E">
              <w:rPr>
                <w:rFonts w:ascii="Calibri" w:eastAsia="Times New Roman" w:hAnsi="Calibri" w:cs="Calibri"/>
                <w:color w:val="000000"/>
              </w:rPr>
              <w:t xml:space="preserve">As reported by classroom faculty, </w:t>
            </w:r>
            <w:r>
              <w:rPr>
                <w:rFonts w:ascii="Calibri" w:eastAsia="Times New Roman" w:hAnsi="Calibri" w:cs="Calibri"/>
                <w:color w:val="000000"/>
              </w:rPr>
              <w:t>o</w:t>
            </w:r>
            <w:r w:rsidR="00990777" w:rsidRPr="00990777">
              <w:rPr>
                <w:rFonts w:ascii="Calibri" w:eastAsia="Times New Roman" w:hAnsi="Calibri" w:cs="Calibri"/>
                <w:color w:val="000000"/>
              </w:rPr>
              <w:t xml:space="preserve">verall, across the five specified mathematics learning outcomes, over 59% of students met or exceeded classroom performance expectations for mathematics (Quantitative) competencies. (Results represent two mathematics courses, Introduction to Statistics and Calculus, and a student sample representing approximately 28% of students enrolled at the College.) </w:t>
            </w:r>
          </w:p>
        </w:tc>
      </w:tr>
    </w:tbl>
    <w:p w:rsidR="00BC7329" w:rsidRDefault="00BC7329"/>
    <w:sectPr w:rsidR="00BC7329" w:rsidSect="00990777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777" w:rsidRDefault="00990777" w:rsidP="00990777">
      <w:pPr>
        <w:spacing w:after="0" w:line="240" w:lineRule="auto"/>
      </w:pPr>
      <w:r>
        <w:separator/>
      </w:r>
    </w:p>
  </w:endnote>
  <w:endnote w:type="continuationSeparator" w:id="0">
    <w:p w:rsidR="00990777" w:rsidRDefault="00990777" w:rsidP="0099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17061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990777" w:rsidRPr="00A21F56" w:rsidRDefault="00520818" w:rsidP="00A21F56">
        <w:pPr>
          <w:pStyle w:val="Footer"/>
          <w:rPr>
            <w:sz w:val="16"/>
            <w:szCs w:val="16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</w:t>
        </w:r>
        <w:r w:rsidR="00A21F56" w:rsidRPr="00A21F56">
          <w:rPr>
            <w:sz w:val="16"/>
            <w:szCs w:val="16"/>
          </w:rPr>
          <w:t>SOURCE: NCC OFFICE FOR ACADEMIC ASSESSMENT AND PROGRAM REVIEW</w:t>
        </w:r>
      </w:p>
    </w:sdtContent>
  </w:sdt>
  <w:p w:rsidR="00990777" w:rsidRDefault="00990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777" w:rsidRDefault="00990777" w:rsidP="00990777">
      <w:pPr>
        <w:spacing w:after="0" w:line="240" w:lineRule="auto"/>
      </w:pPr>
      <w:r>
        <w:separator/>
      </w:r>
    </w:p>
  </w:footnote>
  <w:footnote w:type="continuationSeparator" w:id="0">
    <w:p w:rsidR="00990777" w:rsidRDefault="00990777" w:rsidP="00990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77"/>
    <w:rsid w:val="00520818"/>
    <w:rsid w:val="00990777"/>
    <w:rsid w:val="00A21F56"/>
    <w:rsid w:val="00AB7B7E"/>
    <w:rsid w:val="00BC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777"/>
  </w:style>
  <w:style w:type="paragraph" w:styleId="Footer">
    <w:name w:val="footer"/>
    <w:basedOn w:val="Normal"/>
    <w:link w:val="FooterChar"/>
    <w:uiPriority w:val="99"/>
    <w:unhideWhenUsed/>
    <w:rsid w:val="00990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777"/>
  </w:style>
  <w:style w:type="paragraph" w:styleId="Footer">
    <w:name w:val="footer"/>
    <w:basedOn w:val="Normal"/>
    <w:link w:val="FooterChar"/>
    <w:uiPriority w:val="99"/>
    <w:unhideWhenUsed/>
    <w:rsid w:val="00990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20F39-4BD6-4D58-944C-1FF287E9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Nassau Community College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Grackin, Janice</dc:creator>
  <cp:lastModifiedBy>Grackin, Janice</cp:lastModifiedBy>
  <cp:revision>4</cp:revision>
  <dcterms:created xsi:type="dcterms:W3CDTF">2014-04-08T19:30:00Z</dcterms:created>
  <dcterms:modified xsi:type="dcterms:W3CDTF">2014-04-09T12:50:00Z</dcterms:modified>
</cp:coreProperties>
</file>